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</w:pPr>
    </w:p>
    <w:p/>
    <w:p/>
    <w:p/>
    <w:p/>
    <w:p>
      <w:pPr>
        <w:widowControl/>
        <w:overflowPunct w:val="0"/>
        <w:autoSpaceDE w:val="0"/>
        <w:autoSpaceDN w:val="0"/>
        <w:adjustRightInd w:val="0"/>
        <w:spacing w:line="720" w:lineRule="auto"/>
        <w:jc w:val="center"/>
        <w:textAlignment w:val="baseline"/>
        <w:rPr>
          <w:rFonts w:hint="eastAsia" w:ascii="宋体" w:hAnsi="宋体"/>
          <w:b/>
          <w:kern w:val="0"/>
          <w:sz w:val="44"/>
          <w:szCs w:val="44"/>
        </w:rPr>
      </w:pPr>
      <w:bookmarkStart w:id="0" w:name="_Hlk62579283"/>
      <w:r>
        <w:rPr>
          <w:rFonts w:hint="eastAsia" w:ascii="宋体" w:hAnsi="宋体"/>
          <w:b/>
          <w:kern w:val="0"/>
          <w:sz w:val="44"/>
          <w:szCs w:val="44"/>
        </w:rPr>
        <w:t>海安</w:t>
      </w:r>
      <w:r>
        <w:rPr>
          <w:rFonts w:hint="eastAsia" w:ascii="宋体" w:hAnsi="宋体"/>
          <w:b/>
          <w:kern w:val="0"/>
          <w:sz w:val="44"/>
          <w:szCs w:val="44"/>
          <w:lang w:eastAsia="zh-CN"/>
        </w:rPr>
        <w:t>开发区教育财务中心</w:t>
      </w:r>
      <w:r>
        <w:rPr>
          <w:rFonts w:hint="eastAsia" w:ascii="宋体" w:hAnsi="宋体"/>
          <w:b/>
          <w:kern w:val="0"/>
          <w:sz w:val="44"/>
          <w:szCs w:val="44"/>
        </w:rPr>
        <w:t>2021年部门</w:t>
      </w:r>
    </w:p>
    <w:p>
      <w:pPr>
        <w:widowControl/>
        <w:overflowPunct w:val="0"/>
        <w:autoSpaceDE w:val="0"/>
        <w:autoSpaceDN w:val="0"/>
        <w:adjustRightInd w:val="0"/>
        <w:spacing w:line="720" w:lineRule="auto"/>
        <w:jc w:val="center"/>
        <w:textAlignment w:val="baseline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整体绩效评价报告</w:t>
      </w:r>
    </w:p>
    <w:bookmarkEnd w:id="0"/>
    <w:p>
      <w:pPr>
        <w:widowControl/>
        <w:overflowPunct w:val="0"/>
        <w:autoSpaceDE w:val="0"/>
        <w:autoSpaceDN w:val="0"/>
        <w:adjustRightInd w:val="0"/>
        <w:spacing w:before="120" w:after="120" w:line="360" w:lineRule="auto"/>
        <w:jc w:val="left"/>
        <w:textAlignment w:val="baseline"/>
        <w:rPr>
          <w:rFonts w:ascii="宋体" w:hAnsi="宋体"/>
          <w:kern w:val="0"/>
          <w:szCs w:val="21"/>
        </w:rPr>
      </w:pPr>
    </w:p>
    <w:p>
      <w:pPr>
        <w:widowControl/>
        <w:overflowPunct w:val="0"/>
        <w:autoSpaceDE w:val="0"/>
        <w:autoSpaceDN w:val="0"/>
        <w:adjustRightInd w:val="0"/>
        <w:spacing w:before="120" w:after="120" w:line="360" w:lineRule="auto"/>
        <w:jc w:val="left"/>
        <w:textAlignment w:val="baseline"/>
        <w:rPr>
          <w:rFonts w:ascii="宋体" w:hAnsi="宋体"/>
          <w:kern w:val="0"/>
          <w:szCs w:val="21"/>
        </w:rPr>
      </w:pPr>
    </w:p>
    <w:p>
      <w:pPr>
        <w:widowControl/>
        <w:overflowPunct w:val="0"/>
        <w:autoSpaceDE w:val="0"/>
        <w:autoSpaceDN w:val="0"/>
        <w:adjustRightInd w:val="0"/>
        <w:spacing w:before="120" w:after="120" w:line="360" w:lineRule="auto"/>
        <w:jc w:val="left"/>
        <w:textAlignment w:val="baseline"/>
        <w:rPr>
          <w:rFonts w:ascii="宋体" w:hAnsi="宋体"/>
          <w:kern w:val="0"/>
          <w:szCs w:val="21"/>
        </w:rPr>
      </w:pPr>
    </w:p>
    <w:p>
      <w:pPr>
        <w:widowControl/>
        <w:overflowPunct w:val="0"/>
        <w:autoSpaceDE w:val="0"/>
        <w:autoSpaceDN w:val="0"/>
        <w:adjustRightInd w:val="0"/>
        <w:spacing w:before="120" w:after="120" w:line="360" w:lineRule="auto"/>
        <w:jc w:val="left"/>
        <w:textAlignment w:val="baseline"/>
        <w:rPr>
          <w:rFonts w:ascii="宋体" w:hAnsi="宋体"/>
          <w:kern w:val="0"/>
          <w:szCs w:val="21"/>
        </w:rPr>
      </w:pPr>
    </w:p>
    <w:p>
      <w:pPr>
        <w:widowControl/>
        <w:overflowPunct w:val="0"/>
        <w:autoSpaceDE w:val="0"/>
        <w:autoSpaceDN w:val="0"/>
        <w:adjustRightInd w:val="0"/>
        <w:spacing w:before="120" w:after="120" w:line="360" w:lineRule="auto"/>
        <w:jc w:val="left"/>
        <w:textAlignment w:val="baseline"/>
        <w:rPr>
          <w:rFonts w:ascii="宋体" w:hAnsi="宋体"/>
          <w:kern w:val="0"/>
          <w:szCs w:val="21"/>
        </w:rPr>
      </w:pPr>
    </w:p>
    <w:p>
      <w:pPr>
        <w:widowControl/>
        <w:overflowPunct w:val="0"/>
        <w:autoSpaceDE w:val="0"/>
        <w:autoSpaceDN w:val="0"/>
        <w:adjustRightInd w:val="0"/>
        <w:spacing w:before="120" w:after="120" w:line="360" w:lineRule="auto"/>
        <w:ind w:firstLine="1273" w:firstLineChars="398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u w:val="single"/>
          <w:lang w:bidi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en-US"/>
        </w:rPr>
        <w:t>项目名称：</w:t>
      </w:r>
      <w:bookmarkStart w:id="1" w:name="_Hlk69296665"/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bidi="en-US"/>
        </w:rPr>
        <w:t>2021年部门整体绩效评价</w:t>
      </w:r>
      <w:bookmarkEnd w:id="1"/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bidi="en-US"/>
        </w:rPr>
        <w:t xml:space="preserve">     </w:t>
      </w:r>
    </w:p>
    <w:p>
      <w:pPr>
        <w:pStyle w:val="2"/>
      </w:pPr>
    </w:p>
    <w:p>
      <w:pPr>
        <w:widowControl/>
        <w:overflowPunct w:val="0"/>
        <w:autoSpaceDE w:val="0"/>
        <w:autoSpaceDN w:val="0"/>
        <w:adjustRightInd w:val="0"/>
        <w:spacing w:before="120" w:after="120" w:line="360" w:lineRule="auto"/>
        <w:ind w:firstLine="1273" w:firstLineChars="398"/>
        <w:jc w:val="left"/>
        <w:textAlignment w:val="baseline"/>
        <w:rPr>
          <w:rFonts w:ascii="仿宋" w:hAnsi="仿宋" w:eastAsia="仿宋" w:cs="仿宋"/>
          <w:kern w:val="0"/>
          <w:sz w:val="32"/>
          <w:szCs w:val="32"/>
          <w:lang w:bidi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en-US"/>
        </w:rPr>
        <w:t>项目单位：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en-US"/>
        </w:rPr>
        <w:t>海安开发区教育财务中心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bidi="en-US"/>
        </w:rPr>
        <w:t xml:space="preserve">    </w:t>
      </w:r>
    </w:p>
    <w:p>
      <w:pPr>
        <w:widowControl/>
        <w:overflowPunct w:val="0"/>
        <w:autoSpaceDE w:val="0"/>
        <w:autoSpaceDN w:val="0"/>
        <w:adjustRightInd w:val="0"/>
        <w:spacing w:line="600" w:lineRule="exact"/>
        <w:jc w:val="center"/>
        <w:textAlignment w:val="baseline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pacing w:line="600" w:lineRule="exact"/>
        <w:jc w:val="center"/>
        <w:textAlignment w:val="baseline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kern w:val="0"/>
          <w:sz w:val="32"/>
          <w:szCs w:val="32"/>
          <w:lang w:bidi="en-US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en-US"/>
        </w:rPr>
        <w:t>2022年3月</w:t>
      </w:r>
    </w:p>
    <w:p>
      <w:pPr>
        <w:jc w:val="center"/>
        <w:rPr>
          <w:rFonts w:ascii="宋体" w:hAnsi="宋体"/>
          <w:b/>
          <w:bCs/>
          <w:kern w:val="0"/>
          <w:sz w:val="32"/>
          <w:szCs w:val="32"/>
          <w:lang w:bidi="en-US"/>
        </w:rPr>
      </w:pPr>
    </w:p>
    <w:p>
      <w:pPr>
        <w:pStyle w:val="14"/>
        <w:rPr>
          <w:rFonts w:hAnsi="宋体"/>
          <w:b/>
          <w:bCs/>
          <w:sz w:val="32"/>
          <w:szCs w:val="32"/>
          <w:lang w:bidi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overflowPunct w:val="0"/>
        <w:autoSpaceDE w:val="0"/>
        <w:autoSpaceDN w:val="0"/>
        <w:adjustRightInd w:val="0"/>
        <w:spacing w:line="720" w:lineRule="auto"/>
        <w:jc w:val="center"/>
        <w:textAlignment w:val="baseline"/>
        <w:outlineLvl w:val="0"/>
        <w:rPr>
          <w:rFonts w:ascii="宋体" w:hAnsi="宋体"/>
          <w:b/>
          <w:kern w:val="0"/>
          <w:sz w:val="36"/>
          <w:szCs w:val="36"/>
        </w:rPr>
      </w:pPr>
      <w:bookmarkStart w:id="2" w:name="_Toc26442"/>
      <w:bookmarkStart w:id="3" w:name="_Toc30635"/>
      <w:r>
        <w:rPr>
          <w:rFonts w:hint="eastAsia" w:ascii="宋体" w:hAnsi="宋体"/>
          <w:b/>
          <w:kern w:val="0"/>
          <w:sz w:val="36"/>
          <w:szCs w:val="36"/>
        </w:rPr>
        <w:t>海安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开发区教育财务中心</w:t>
      </w:r>
      <w:r>
        <w:rPr>
          <w:rFonts w:hint="eastAsia" w:ascii="宋体" w:hAnsi="宋体"/>
          <w:b/>
          <w:kern w:val="0"/>
          <w:sz w:val="36"/>
          <w:szCs w:val="36"/>
        </w:rPr>
        <w:t>2021年部门整体绩效评价报告</w:t>
      </w:r>
      <w:bookmarkEnd w:id="2"/>
      <w:bookmarkEnd w:id="3"/>
    </w:p>
    <w:p>
      <w:pPr>
        <w:numPr>
          <w:ilvl w:val="0"/>
          <w:numId w:val="1"/>
        </w:numPr>
        <w:spacing w:line="600" w:lineRule="exact"/>
        <w:ind w:firstLine="643" w:firstLineChars="200"/>
        <w:jc w:val="left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bookmarkStart w:id="4" w:name="_Toc198"/>
      <w:bookmarkStart w:id="5" w:name="_Toc10759"/>
      <w:bookmarkStart w:id="6" w:name="_Toc4628"/>
      <w:r>
        <w:rPr>
          <w:rFonts w:hint="eastAsia" w:ascii="黑体" w:hAnsi="黑体" w:eastAsia="黑体" w:cs="黑体"/>
          <w:b/>
          <w:bCs/>
          <w:sz w:val="32"/>
          <w:szCs w:val="32"/>
        </w:rPr>
        <w:t>部门概况</w:t>
      </w:r>
      <w:bookmarkEnd w:id="4"/>
      <w:bookmarkEnd w:id="5"/>
      <w:bookmarkEnd w:id="6"/>
    </w:p>
    <w:p>
      <w:pPr>
        <w:numPr>
          <w:ilvl w:val="0"/>
          <w:numId w:val="2"/>
        </w:numPr>
        <w:spacing w:line="600" w:lineRule="exact"/>
        <w:jc w:val="left"/>
        <w:outlineLvl w:val="1"/>
        <w:rPr>
          <w:rFonts w:ascii="楷体" w:hAnsi="楷体" w:eastAsia="楷体" w:cs="楷体"/>
          <w:b/>
          <w:bCs/>
          <w:sz w:val="32"/>
          <w:szCs w:val="32"/>
        </w:rPr>
      </w:pPr>
      <w:bookmarkStart w:id="7" w:name="_Toc14428"/>
      <w:bookmarkStart w:id="8" w:name="_Toc23029"/>
      <w:bookmarkStart w:id="9" w:name="_Toc4071"/>
      <w:r>
        <w:rPr>
          <w:rFonts w:hint="eastAsia" w:ascii="楷体" w:hAnsi="楷体" w:eastAsia="楷体" w:cs="楷体"/>
          <w:b/>
          <w:bCs/>
          <w:sz w:val="32"/>
          <w:szCs w:val="32"/>
        </w:rPr>
        <w:t>部门概述</w:t>
      </w:r>
      <w:bookmarkEnd w:id="7"/>
    </w:p>
    <w:p>
      <w:pPr>
        <w:pStyle w:val="14"/>
        <w:spacing w:line="360" w:lineRule="auto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促进本区镇幼儿教育、小学初中基础教育均衡发展，面向全区提供成人教育经服务和技术技能培训，为开发区及地方经济发展提供有力支持。海安开发区教育财务中心主要负责开发区教育系统财务运行，对本区教育系统各单位财务提供指导。</w:t>
      </w:r>
    </w:p>
    <w:p>
      <w:pPr>
        <w:numPr>
          <w:ilvl w:val="0"/>
          <w:numId w:val="2"/>
        </w:numPr>
        <w:spacing w:line="600" w:lineRule="exact"/>
        <w:jc w:val="left"/>
        <w:outlineLvl w:val="1"/>
        <w:rPr>
          <w:rFonts w:ascii="楷体" w:hAnsi="楷体" w:eastAsia="楷体" w:cs="楷体"/>
          <w:b/>
          <w:bCs/>
          <w:sz w:val="32"/>
          <w:szCs w:val="32"/>
        </w:rPr>
      </w:pPr>
      <w:bookmarkStart w:id="10" w:name="_Toc9196"/>
      <w:r>
        <w:rPr>
          <w:rFonts w:hint="eastAsia" w:ascii="楷体" w:hAnsi="楷体" w:eastAsia="楷体" w:cs="楷体"/>
          <w:b/>
          <w:bCs/>
          <w:sz w:val="32"/>
          <w:szCs w:val="32"/>
        </w:rPr>
        <w:t>部门主要职能</w:t>
      </w:r>
      <w:bookmarkEnd w:id="8"/>
      <w:bookmarkEnd w:id="9"/>
      <w:bookmarkEnd w:id="10"/>
    </w:p>
    <w:p>
      <w:pPr>
        <w:pStyle w:val="9"/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420" w:leftChars="200" w:right="481" w:rightChars="229" w:firstLine="658"/>
        <w:jc w:val="both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1.促进全镇幼儿教育、小学教育、初中教育均衡发展；</w:t>
      </w:r>
    </w:p>
    <w:p>
      <w:pPr>
        <w:pStyle w:val="9"/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420" w:leftChars="200" w:right="481" w:rightChars="229" w:firstLine="658"/>
        <w:jc w:val="both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2.面向全区提供成人教育和技术技能培训；</w:t>
      </w:r>
    </w:p>
    <w:p>
      <w:pPr>
        <w:pStyle w:val="9"/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420" w:leftChars="200" w:right="481" w:rightChars="229" w:firstLine="658"/>
        <w:jc w:val="both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3.为开发区地方经济发展提供有力支持；</w:t>
      </w:r>
    </w:p>
    <w:p>
      <w:pPr>
        <w:pStyle w:val="9"/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420" w:leftChars="200" w:right="481" w:rightChars="229" w:firstLine="658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"/>
        </w:rPr>
        <w:t>海安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开发区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"/>
        </w:rPr>
        <w:t>教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育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"/>
        </w:rPr>
        <w:t>财务中心主要负责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开发区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"/>
        </w:rPr>
        <w:t>教育系统财务运行，对本教育系统各单位财务提供指导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；</w:t>
      </w:r>
    </w:p>
    <w:p>
      <w:pPr>
        <w:numPr>
          <w:ilvl w:val="0"/>
          <w:numId w:val="0"/>
        </w:numPr>
        <w:spacing w:line="600" w:lineRule="exact"/>
        <w:ind w:left="630" w:leftChars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上级</w:t>
      </w:r>
      <w:r>
        <w:rPr>
          <w:rFonts w:hint="eastAsia" w:ascii="仿宋" w:hAnsi="仿宋" w:eastAsia="仿宋" w:cs="仿宋"/>
          <w:sz w:val="32"/>
          <w:szCs w:val="32"/>
        </w:rPr>
        <w:t>交办的其他任务。</w:t>
      </w:r>
    </w:p>
    <w:p>
      <w:pPr>
        <w:numPr>
          <w:ilvl w:val="0"/>
          <w:numId w:val="2"/>
        </w:numPr>
        <w:spacing w:line="600" w:lineRule="exact"/>
        <w:jc w:val="left"/>
        <w:outlineLvl w:val="1"/>
        <w:rPr>
          <w:rFonts w:ascii="楷体" w:hAnsi="楷体" w:eastAsia="楷体" w:cs="楷体"/>
          <w:b/>
          <w:bCs/>
          <w:sz w:val="32"/>
          <w:szCs w:val="32"/>
        </w:rPr>
      </w:pPr>
      <w:bookmarkStart w:id="11" w:name="_Toc18741"/>
      <w:bookmarkStart w:id="12" w:name="_Toc18924"/>
      <w:bookmarkStart w:id="13" w:name="_Toc16473"/>
      <w:r>
        <w:rPr>
          <w:rFonts w:hint="eastAsia" w:ascii="楷体" w:hAnsi="楷体" w:eastAsia="楷体" w:cs="楷体"/>
          <w:b/>
          <w:bCs/>
          <w:sz w:val="32"/>
          <w:szCs w:val="32"/>
        </w:rPr>
        <w:t>部门机构设置</w:t>
      </w:r>
      <w:bookmarkEnd w:id="11"/>
      <w:bookmarkEnd w:id="12"/>
      <w:bookmarkEnd w:id="13"/>
    </w:p>
    <w:p>
      <w:pPr>
        <w:pStyle w:val="17"/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根据单位职责分工，本单位内设机构包括：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党群组、教研组、财务组和综合组。</w:t>
      </w:r>
    </w:p>
    <w:p>
      <w:pPr>
        <w:pStyle w:val="17"/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下属单位包括:海安经济开发区实验小学、海安市城东镇南屏小学、海安市城东镇韩洋小学、海安市城东镇西场小学、海安市城东镇壮志小学、海安市城东镇延寿小学、海安市城东镇西场初级中学、海安市开发区实验学校。</w:t>
      </w:r>
    </w:p>
    <w:p>
      <w:pPr>
        <w:numPr>
          <w:ilvl w:val="0"/>
          <w:numId w:val="2"/>
        </w:numPr>
        <w:spacing w:line="600" w:lineRule="exact"/>
        <w:jc w:val="left"/>
        <w:outlineLvl w:val="1"/>
        <w:rPr>
          <w:rFonts w:ascii="楷体" w:hAnsi="楷体" w:eastAsia="楷体" w:cs="楷体"/>
          <w:b/>
          <w:bCs/>
          <w:sz w:val="32"/>
          <w:szCs w:val="32"/>
        </w:rPr>
      </w:pPr>
      <w:bookmarkStart w:id="14" w:name="_Toc2773"/>
      <w:bookmarkStart w:id="15" w:name="_Toc30611"/>
      <w:bookmarkStart w:id="16" w:name="_Toc22490"/>
      <w:r>
        <w:rPr>
          <w:rFonts w:hint="eastAsia" w:ascii="楷体" w:hAnsi="楷体" w:eastAsia="楷体" w:cs="楷体"/>
          <w:b/>
          <w:bCs/>
          <w:sz w:val="32"/>
          <w:szCs w:val="32"/>
        </w:rPr>
        <w:t>部门人员情况</w:t>
      </w:r>
      <w:bookmarkEnd w:id="14"/>
      <w:bookmarkEnd w:id="15"/>
      <w:bookmarkEnd w:id="16"/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海安市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开发区教职工676人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其中初中257人，小学304人，幼儿园115人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2"/>
        </w:numPr>
        <w:spacing w:line="600" w:lineRule="exact"/>
        <w:jc w:val="left"/>
        <w:outlineLvl w:val="1"/>
        <w:rPr>
          <w:rFonts w:ascii="楷体" w:hAnsi="楷体" w:eastAsia="楷体" w:cs="楷体"/>
          <w:b/>
          <w:bCs/>
          <w:sz w:val="32"/>
          <w:szCs w:val="32"/>
        </w:rPr>
      </w:pPr>
      <w:bookmarkStart w:id="17" w:name="_Toc19741"/>
      <w:bookmarkStart w:id="18" w:name="_Toc27622"/>
      <w:bookmarkStart w:id="19" w:name="_Toc19357"/>
      <w:r>
        <w:rPr>
          <w:rFonts w:hint="eastAsia" w:ascii="楷体" w:hAnsi="楷体" w:eastAsia="楷体" w:cs="楷体"/>
          <w:b/>
          <w:bCs/>
          <w:sz w:val="32"/>
          <w:szCs w:val="32"/>
        </w:rPr>
        <w:t>部门中长期战略目标</w:t>
      </w:r>
      <w:bookmarkEnd w:id="17"/>
      <w:bookmarkEnd w:id="18"/>
      <w:bookmarkEnd w:id="19"/>
      <w:bookmarkStart w:id="20" w:name="_Toc30039"/>
      <w:bookmarkStart w:id="21" w:name="_Toc19818"/>
      <w:bookmarkStart w:id="22" w:name="_Toc29614"/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到2025年，全市公共教育体系更加完善，教育结构更加科学合理，教育公平和教育质量明显提升，教育服务人的全面发展、服务经济社会发展的能力显著增强，人民对教育的满意度不断提升，教育发展总体水平、教育现代化监测综合得分均居全省前列，率先实现教育现代化，建成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有声誉、全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居前列、系统有影响、群众有好评的教育强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。各级各类教育更加科学、民主、法治、公平、开放和多元，全面建成学习型社会。教育对经济社会发展的支撑力和贡献度显著提高，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开发区</w:t>
      </w:r>
      <w:r>
        <w:rPr>
          <w:rFonts w:hint="eastAsia" w:ascii="仿宋" w:hAnsi="仿宋" w:eastAsia="仿宋" w:cs="仿宋"/>
          <w:sz w:val="32"/>
          <w:szCs w:val="32"/>
        </w:rPr>
        <w:t>的金字招牌更加闪亮。</w:t>
      </w:r>
    </w:p>
    <w:p>
      <w:pPr>
        <w:numPr>
          <w:ilvl w:val="0"/>
          <w:numId w:val="0"/>
        </w:numPr>
        <w:spacing w:line="600" w:lineRule="exact"/>
        <w:ind w:firstLine="643" w:firstLineChars="200"/>
        <w:jc w:val="left"/>
        <w:outlineLvl w:val="1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部门年度总体目标</w:t>
      </w:r>
      <w:bookmarkEnd w:id="20"/>
      <w:bookmarkEnd w:id="21"/>
      <w:bookmarkEnd w:id="22"/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全市教育发展大会部署，围绕“六稳”“六保”要求，聚焦高质里监测、考核指标，加快教育民生领域补短板、强弱项、提优势力度，扩大优质教育资源供给，进一步提高教育教学质里，促进教师队伍建设专业发展，提升职业和社会教育水平，加快体育高质量发展。</w:t>
      </w:r>
      <w:bookmarkStart w:id="23" w:name="_Toc28444"/>
      <w:bookmarkStart w:id="24" w:name="_Toc30421"/>
      <w:bookmarkStart w:id="25" w:name="_Toc22687"/>
    </w:p>
    <w:p>
      <w:pPr>
        <w:numPr>
          <w:ilvl w:val="0"/>
          <w:numId w:val="3"/>
        </w:numPr>
        <w:spacing w:line="600" w:lineRule="exact"/>
        <w:ind w:firstLine="643" w:firstLineChars="200"/>
        <w:jc w:val="left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部门收支基本情况</w:t>
      </w:r>
      <w:bookmarkEnd w:id="23"/>
    </w:p>
    <w:p>
      <w:pPr>
        <w:numPr>
          <w:ilvl w:val="0"/>
          <w:numId w:val="4"/>
        </w:numPr>
        <w:spacing w:line="600" w:lineRule="exact"/>
        <w:jc w:val="left"/>
        <w:outlineLvl w:val="1"/>
        <w:rPr>
          <w:rFonts w:ascii="楷体" w:hAnsi="楷体" w:eastAsia="楷体" w:cs="楷体"/>
          <w:b/>
          <w:bCs/>
          <w:sz w:val="32"/>
          <w:szCs w:val="32"/>
        </w:rPr>
      </w:pPr>
      <w:bookmarkStart w:id="26" w:name="_Toc19207"/>
      <w:r>
        <w:rPr>
          <w:rFonts w:hint="eastAsia" w:ascii="楷体" w:hAnsi="楷体" w:eastAsia="楷体" w:cs="楷体"/>
          <w:b/>
          <w:bCs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年收入、支出情况</w:t>
      </w:r>
      <w:bookmarkEnd w:id="26"/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海安开发区教育财务中心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年初</w:t>
      </w:r>
      <w:r>
        <w:rPr>
          <w:rFonts w:hint="eastAsia" w:ascii="仿宋" w:hAnsi="仿宋" w:eastAsia="仿宋" w:cs="仿宋"/>
          <w:sz w:val="32"/>
          <w:szCs w:val="32"/>
        </w:rPr>
        <w:t>收入预算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13172.08</w:t>
      </w:r>
      <w:r>
        <w:rPr>
          <w:rFonts w:hint="eastAsia" w:ascii="仿宋" w:hAnsi="仿宋" w:eastAsia="仿宋" w:cs="仿宋"/>
          <w:sz w:val="32"/>
          <w:szCs w:val="32"/>
        </w:rPr>
        <w:t>万元，支出预算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13172.08</w:t>
      </w:r>
      <w:r>
        <w:rPr>
          <w:rFonts w:hint="eastAsia" w:ascii="仿宋" w:hAnsi="仿宋" w:eastAsia="仿宋" w:cs="仿宋"/>
          <w:sz w:val="32"/>
          <w:szCs w:val="32"/>
        </w:rPr>
        <w:t>万元，其中：基本支出预算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13172.08</w:t>
      </w:r>
      <w:r>
        <w:rPr>
          <w:rFonts w:hint="eastAsia" w:ascii="仿宋" w:hAnsi="仿宋" w:eastAsia="仿宋" w:cs="仿宋"/>
          <w:sz w:val="32"/>
          <w:szCs w:val="32"/>
        </w:rPr>
        <w:t>万元。因人员变动、调资、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绩效考核奖、退休中人职业年金记实、创文先进个人奖励、年中考核奖</w:t>
      </w:r>
      <w:r>
        <w:rPr>
          <w:rFonts w:hint="eastAsia" w:ascii="仿宋" w:hAnsi="仿宋" w:eastAsia="仿宋" w:cs="仿宋"/>
          <w:sz w:val="32"/>
          <w:szCs w:val="32"/>
        </w:rPr>
        <w:t>等相关经费的增加追加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人员经费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4851.01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另区镇财政拨款及事业收入2654.68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调整后收入预算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21229.77</w:t>
      </w:r>
      <w:r>
        <w:rPr>
          <w:rFonts w:hint="eastAsia" w:ascii="仿宋" w:hAnsi="仿宋" w:eastAsia="仿宋" w:cs="仿宋"/>
          <w:sz w:val="32"/>
          <w:szCs w:val="32"/>
        </w:rPr>
        <w:t>万元，支出预算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20989.71</w:t>
      </w:r>
      <w:r>
        <w:rPr>
          <w:rFonts w:hint="eastAsia" w:ascii="仿宋" w:hAnsi="仿宋" w:eastAsia="仿宋" w:cs="仿宋"/>
          <w:sz w:val="32"/>
          <w:szCs w:val="32"/>
        </w:rPr>
        <w:t>万元，其中：基本支出预算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20602.42</w:t>
      </w:r>
      <w:r>
        <w:rPr>
          <w:rFonts w:hint="eastAsia" w:ascii="仿宋" w:hAnsi="仿宋" w:eastAsia="仿宋" w:cs="仿宋"/>
          <w:sz w:val="32"/>
          <w:szCs w:val="32"/>
        </w:rPr>
        <w:t>万元，项目支出预算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387.29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海安开发区教育财务中心</w:t>
      </w:r>
      <w:r>
        <w:rPr>
          <w:rFonts w:hint="eastAsia" w:ascii="仿宋" w:hAnsi="仿宋" w:eastAsia="仿宋" w:cs="仿宋"/>
          <w:sz w:val="32"/>
          <w:szCs w:val="32"/>
        </w:rPr>
        <w:t>决算收入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21229.77</w:t>
      </w:r>
      <w:r>
        <w:rPr>
          <w:rFonts w:hint="eastAsia" w:ascii="仿宋" w:hAnsi="仿宋" w:eastAsia="仿宋" w:cs="仿宋"/>
          <w:sz w:val="32"/>
          <w:szCs w:val="32"/>
        </w:rPr>
        <w:t>万元，实际支出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20989.71</w:t>
      </w:r>
      <w:r>
        <w:rPr>
          <w:rFonts w:hint="eastAsia" w:ascii="仿宋" w:hAnsi="仿宋" w:eastAsia="仿宋" w:cs="仿宋"/>
          <w:sz w:val="32"/>
          <w:szCs w:val="32"/>
        </w:rPr>
        <w:t>万元，其中基本支出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20602.42</w:t>
      </w:r>
      <w:r>
        <w:rPr>
          <w:rFonts w:hint="eastAsia" w:ascii="仿宋" w:hAnsi="仿宋" w:eastAsia="仿宋" w:cs="仿宋"/>
          <w:sz w:val="32"/>
          <w:szCs w:val="32"/>
        </w:rPr>
        <w:t>万元，项目支出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387.29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</w:t>
      </w:r>
      <w:r>
        <w:rPr>
          <w:rFonts w:hint="eastAsia" w:ascii="仿宋" w:hAnsi="仿宋" w:eastAsia="仿宋" w:cs="仿宋"/>
          <w:sz w:val="32"/>
          <w:szCs w:val="32"/>
        </w:rPr>
        <w:t>具体结构如下：</w:t>
      </w:r>
    </w:p>
    <w:p>
      <w:pPr>
        <w:pStyle w:val="14"/>
        <w:numPr>
          <w:ilvl w:val="0"/>
          <w:numId w:val="5"/>
        </w:numPr>
        <w:spacing w:line="600" w:lineRule="exact"/>
        <w:ind w:left="-10" w:leftChars="0" w:firstLine="64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基本支出结构：基本支出的范围和主要用途包括人员经费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18416.94万元</w:t>
      </w:r>
      <w:r>
        <w:rPr>
          <w:rFonts w:hint="eastAsia" w:ascii="仿宋" w:hAnsi="仿宋" w:eastAsia="仿宋" w:cs="仿宋"/>
          <w:sz w:val="32"/>
          <w:szCs w:val="32"/>
        </w:rPr>
        <w:t>和公用经费2185.49万元，主要用于保障部门职能的履行和机构日常运转。从支出结构上看，基本支出中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89.39</w:t>
      </w:r>
      <w:r>
        <w:rPr>
          <w:rFonts w:hint="eastAsia" w:ascii="仿宋" w:hAnsi="仿宋" w:eastAsia="仿宋" w:cs="仿宋"/>
          <w:sz w:val="32"/>
          <w:szCs w:val="32"/>
        </w:rPr>
        <w:t>%用于人员经费，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10.61</w:t>
      </w:r>
      <w:r>
        <w:rPr>
          <w:rFonts w:hint="eastAsia" w:ascii="仿宋" w:hAnsi="仿宋" w:eastAsia="仿宋" w:cs="仿宋"/>
          <w:sz w:val="32"/>
          <w:szCs w:val="32"/>
        </w:rPr>
        <w:t>%用于公用经费。</w:t>
      </w:r>
    </w:p>
    <w:p>
      <w:pPr>
        <w:numPr>
          <w:ilvl w:val="0"/>
          <w:numId w:val="5"/>
        </w:numPr>
        <w:spacing w:line="600" w:lineRule="exact"/>
        <w:ind w:left="-10" w:leftChars="0" w:firstLine="640" w:firstLineChars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项目支出结构：从支出项目来看，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海安开发区教育财务中心</w:t>
      </w: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年度项目支出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主要用于开发区实验小学综合楼建设项目。</w:t>
      </w:r>
    </w:p>
    <w:bookmarkEnd w:id="24"/>
    <w:bookmarkEnd w:id="25"/>
    <w:p>
      <w:pPr>
        <w:pStyle w:val="4"/>
        <w:autoSpaceDE w:val="0"/>
        <w:spacing w:before="0" w:after="0" w:line="600" w:lineRule="exact"/>
        <w:ind w:left="567"/>
        <w:rPr>
          <w:rFonts w:ascii="黑体" w:hAnsi="黑体" w:eastAsia="黑体" w:cs="黑体"/>
          <w:kern w:val="0"/>
        </w:rPr>
      </w:pPr>
      <w:bookmarkStart w:id="27" w:name="_Toc31944"/>
      <w:bookmarkStart w:id="28" w:name="_Toc25511"/>
      <w:bookmarkStart w:id="29" w:name="_Toc161"/>
      <w:r>
        <w:rPr>
          <w:rFonts w:hint="eastAsia" w:ascii="黑体" w:hAnsi="黑体" w:eastAsia="黑体" w:cs="黑体"/>
          <w:kern w:val="0"/>
        </w:rPr>
        <w:t>三、部门整体支出的主要成效</w:t>
      </w:r>
      <w:bookmarkEnd w:id="27"/>
    </w:p>
    <w:p>
      <w:pPr>
        <w:pStyle w:val="4"/>
        <w:keepNext w:val="0"/>
        <w:spacing w:before="0" w:after="0" w:line="600" w:lineRule="exact"/>
        <w:ind w:firstLine="643" w:firstLineChars="200"/>
        <w:rPr>
          <w:rFonts w:ascii="楷体" w:hAnsi="楷体" w:eastAsia="楷体"/>
          <w:bCs w:val="0"/>
        </w:rPr>
      </w:pPr>
      <w:bookmarkStart w:id="30" w:name="_Toc25849363"/>
      <w:bookmarkStart w:id="31" w:name="_Toc27709"/>
      <w:r>
        <w:rPr>
          <w:rFonts w:hint="eastAsia" w:ascii="楷体" w:hAnsi="楷体" w:eastAsia="楷体"/>
          <w:bCs w:val="0"/>
        </w:rPr>
        <w:t>（一）预决算执行总体情况较好</w:t>
      </w:r>
      <w:bookmarkEnd w:id="30"/>
      <w:bookmarkEnd w:id="31"/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年度基本支出和项目支出预算执行率均在95%以上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基本支出和项目支出预算执行率分别为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97.86</w:t>
      </w:r>
      <w:r>
        <w:rPr>
          <w:rFonts w:hint="eastAsia" w:ascii="仿宋" w:hAnsi="仿宋" w:eastAsia="仿宋" w:cs="仿宋"/>
          <w:sz w:val="32"/>
          <w:szCs w:val="32"/>
        </w:rPr>
        <w:t>%和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96.85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pStyle w:val="4"/>
        <w:keepNext w:val="0"/>
        <w:numPr>
          <w:ilvl w:val="0"/>
          <w:numId w:val="6"/>
        </w:numPr>
        <w:spacing w:before="0" w:after="0" w:line="600" w:lineRule="exact"/>
        <w:ind w:firstLine="643" w:firstLineChars="200"/>
        <w:rPr>
          <w:rFonts w:ascii="楷体" w:hAnsi="楷体" w:eastAsia="楷体"/>
          <w:bCs w:val="0"/>
        </w:rPr>
      </w:pPr>
      <w:bookmarkStart w:id="32" w:name="_Toc9966"/>
      <w:bookmarkStart w:id="33" w:name="_Toc25849364"/>
      <w:r>
        <w:rPr>
          <w:rFonts w:hint="eastAsia" w:ascii="楷体" w:hAnsi="楷体" w:eastAsia="楷体"/>
          <w:bCs w:val="0"/>
        </w:rPr>
        <w:t>部门履职及年度重点任务完成情况较好</w:t>
      </w:r>
      <w:bookmarkEnd w:id="32"/>
      <w:bookmarkEnd w:id="33"/>
    </w:p>
    <w:bookmarkEnd w:id="28"/>
    <w:bookmarkEnd w:id="29"/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34" w:name="_Toc29790"/>
      <w:r>
        <w:rPr>
          <w:rFonts w:hint="eastAsia" w:ascii="仿宋" w:hAnsi="仿宋" w:eastAsia="仿宋" w:cs="仿宋"/>
          <w:sz w:val="32"/>
          <w:szCs w:val="32"/>
        </w:rPr>
        <w:t>开发区教育全面贯彻落实党的十九大、十九届历次全</w:t>
      </w:r>
      <w:bookmarkStart w:id="35" w:name="_GoBack"/>
      <w:bookmarkEnd w:id="35"/>
      <w:r>
        <w:rPr>
          <w:rFonts w:hint="eastAsia" w:ascii="仿宋" w:hAnsi="仿宋" w:eastAsia="仿宋" w:cs="仿宋"/>
          <w:sz w:val="32"/>
          <w:szCs w:val="32"/>
        </w:rPr>
        <w:t>会精神和省、市、区党代会精神，海安市教育发展大会精神，紧紧围绕市委市政府加快建设教育强市的决策部署，锚定“教育高质量发展”核心目标，坚持“四轮两翼”行动路径不动摇，以“四会三控二查一考”为抓手，坚持问题导向，聚焦重点工作，固根基、扬优势、补短板、强弱项，凝神聚力，深耕细作，不断推动开发区教育走向“大而强”，为教育强市建设贡献更多份额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（一）固根基，在领航铸魂上坚守初心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把牢政治建设“定盘星”。深入学习习近平新时代中国特色社会主义思想、十九届六中全会精神和《中共中央关于党的百年奋斗重大成就和历史经验的决议》。深化党史学习教育成果，把“四史”（党史、新中国史、改革开放史、社会主义发展史）学深学透、融会贯通、真信笃行。坚持党建带团建、队建，把少先队和共青团工作纳入全员、全过程、全方位的育人格局。扎实推进中华优秀传统文化和革命传统进课程，把中华民族优秀文化基因、红色基因植入青少年心田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激活组织建设“动力源”。落实《关于建立中小学校党组织领导的校长负责制的意见（试行）》，全面建强基层党组织。总支要围绕“三会一课”规范化、“两学一做”常态化、支部工作标准化，争创五星级。各支部要丰富“5+N”主题党日活动，重点打造1个“红色海陵”主题党日活动案例，参市评比。“书记创优创新项目”抓实抓深，努力形成“1+3”项目矩阵，再培育1-2个“一校一品”党建文化品牌。推行“党建+x”模式，促进党建与安全、规范、稳定、质量、发展深度融合，增强党建引领功能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织密意识形态“防护网”。持续推进“学习强国”平台在线学习，加强教育宣传、信访稳定工作，常态做好“两微一网”和校园工作群监管，创设主流积极健康、主旋律响亮的校园舆论生态。进一步加强阵地管理，严格落实讲座、报告会等活动审批报备制。压紧压实意识形态工作责任制，做到“一月一排查，一季一研判，半年一调研”，重点抓好冬残奥会、“两会”、二十大等重要节点意识形态分析研判，做好风险防范和应对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筑就廉洁从教“防火墙”。以点带面，继续推进廉政文化特色校园创建，做到“一主多辅”“一校一品”。持续开展师德师风专项治理，加强党纪法规和典型案例学习教育，强化日常管理。发挥监委会工作职能，用活用好监督执纪“四种形态”，强化对“一把手”、财务人员、班主任等重点人群的全覆盖管理，强化对人事调整、招标采购、项目建设、教育收费等重点领域的全链条监管，强化对教辅征订、食堂管理、课后服务、评先评优等重点事项的全过程监督，强化对校园近三年行政、食堂收支等重点账目的全方位审计，做好省中小学教育经费管理使用情况审计反馈意见整改“后半篇文章”，全力推动全面从严治党治教向基层延伸。深入开展“作风建设提升年”活动，突出“十聚焦十查摆”，抓好“学、查、督、改、评”五个关键环节，坚持“四干”（想干事、能干事、会干事、干成事）抓落实，锤炼素质硬作风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（二）扬优势，在内涵提升上持续发力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拓宽德育工作渠道。坚持德育“首位战略”，充分运用“红色海安”德育资源，全面深化青少年党史宣传教育实效。推动从“以德育德”向“五育育德”转变，以智育德，做强课堂主渠道；以体育德，促进学生身心健康；以美育德，提升学生人文素养；以劳育德，坚持知行合一。加强思政教师队伍建设，鼓励书记、校长带头上思政课，提高思政课程“抬头率”，把校园建成为锻造理想信念的熔炉、弘扬主流价值的高地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放大体艺育人效应。开展中小学体质健康抽测，大力实施中小学生近视眼预防“明亮工程”。通过篮球、足球、武术、连厢、绳操等传统特色项目，促进学生特长发展，每名学生掌握2项以上体育技能。探索将“一生一运动项目”纳入小学毕业生考试考查内容。遵循“结成对、连成片、红一体”的思路，放大京剧、书法等传统艺术进校园的示范效应，深挖地方美育资源，开发特色美育课程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优化队伍建设路径。抓好校（园）长队伍建设，实施校（园）长领导力提升工程，注重后备干部培养，开展校（园）长论坛、校（园）长沙龙等活动，引导校（园）长学习、践行新理念，使之成为引领学校发展的旗帜，始终做到心装责任、胸怀大局、手抓发展。抓好名师队伍建设，放大名师工作室的孵化功能，继续推行“海陵名师储备计划”，将“115”培养对象纳入名师工作室管理，进一步优化管理机制、考核细则，助推形成更多“高峰”凸显之秀 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优化教育科研质态。扎实推动课题研究，注重过程管理，规范运行机制。组织2016年市“十三五”课题（5项）结题工作，开展2019年省市“十三五”课题（7项）中期检查，举行省市“十四五”课题（13项）开题活动。加强微型课题研究指导，落实“四个一”机制，即读一本与课题相关的书籍、上一节研究课、作一次阶段交流、写一篇研究文章。坚持“教研合一”，开展日常研讨，使科研成果成为现实教育生产力。深入推进“同读一本书”活动，通过氛围营造、阅读打卡、智慧分享、实践运用等策略全域式卷入，切实提升教师理论素养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压实安全管理责任。继续深入学习习近平总书记关于安全生产的重要论述及指示、批示，学习新《安全生产法》，统筹发展和安全，在提升上下功夫、求突破。坚持人民至上、生命至上，坚持“三管三必须”，持续推进 “五个化”（学校主体责任具体化、风险辨识管控精准化、安全达标贯标持续化、安全隐患排查常态化、安全培训教育全员化），切实做到“党政同责、一岗双责、齐抓共管”。坚持从源头上防范化解安全风险，深化校园和校车安全专项整治三年行动，确保完美收官。推行网格化点位清单、全员责任清单“双单一体”，堵塞安全管理漏洞，明确不同岗位职责，分层逐岗签订适岗责任书，避免责任书从上至下“一张面孔”的现象，构建可追溯的责任链，形成层层有人管，岗岗有人抓的安全管理网络。继续加强“依法治校（园）”建设，做到校园管理法治化、规范化，力争再增2所“依法治园”示范园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打造“双减”工作特色。全面落实“双减”，扎实推进“五项管理”，促进学生全面发展、健康成长。严格落实《作业管理实施指导意见》，完善监管体系，鼓励推行作业免写、无作业日制度。优化作业设计，精选作业内容，实施分层次、有弹性、个性化作业，开发科学探究、体育锻炼、艺术欣赏、劳动实践等特色作业。加强考试监管，减少考试频率，控制考试难度，改变成绩呈现，规范考试组织，正确使用考试结果，科学全面评价学生。进一步提升课后延时服务质效，以“基础服务＋拓展服务”为基调，打造自主作业、体育锻炼和特色拓展性课程相结合的“1＋1＋X”课后服务模式，以满足学生多元化、个性化的发展需求。强化校外培训机构日常监管，稳妥推进非学科类校外培训机构进校园服务，严查学科类培训隐形变异，严防“冒烟”“暴雷”风险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推进基础设施建设。全力推动南屏园、南屏小学新建工程，确保上半年通过竣工验收交付使用。加快推进西中综合楼工程，启动韩小易地新建工程。加强公共基础设施管护，严格执行管护制度，切实履行教育教学设施设备，校舍、体育、安防等设施管护责任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（三）补短板，在要素配给上善作善成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努力构建全域育人网络。推动中小学劳动教育逐步由分散式实践向体系化课程转变，努力形成家庭劳动教育日常化、学校劳动教育规范化、社会劳动教育多样化的协同育人格局。传承弘扬劳模精神、劳动精神、工匠精神，结合文化传承、智慧农业、美丽乡村等项目载体，积极创建南通市劳动教育示范学校（基地），形成1-2个劳动教育精品案例。高度重视学生心理健康教育，开足开齐心理健康教育课程，多渠道开展心理健康宣传，提高师生、家长对525成长热线的知晓率和认可度。强化定期监测，健全学生心理健康档案管理和转介制度，实现重点学生跨学段、跨班级闭环管理。贯彻《中华人民共和国家庭教育促进法》，探索家庭教育新路径，完善优化中小学教师全员家访机制，引导家长履行法定责任，掌握科学教育方法，营造良好家校社协同育人氛围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积极推动学科联盟步伐。聚焦教育强市建设新趋势，立足区域发展新需求，开展集团化办学的可行性论证。聚焦“双减”背景下中考备考策略研究，崇尚“紧密合作、优质共享、提质增效”的思路，推动开实初中部、西中建立学科联盟，制订共研机制，开展联合备课，研制适切作业，提升学科内涵。加强小学学科基地建设，集结各校学科骨干，组建“优势学科群”，保障学科工作室高效运转，最大程度激活各校自身“造血”功能。依托学前教育联盟、共同体，各幼儿园要基于儿童立场，提升课程游戏化建设水平，加强幼小衔接研究，促进幼儿全面发展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逐步推行幼托一体试点。鼓励支持有条件的幼儿园在满足区域内3-6岁儿童入园需求基础上开设托班，以满足家庭对孩子入托入园便捷性和连续性需求。充分发挥专业资源集聚优势，统筹托幼服务资源，提高资源使用效益。加强幼儿园保育工作，举办保育员技能比赛，提升保育员队伍技能素养、专业服务能力，切实做到“保教结合、教养并重”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（四）强弱项，在优化教育生态上奋力攻坚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构建“共学课堂”经开样态。深入推进课堂教学改革，积极探索基于情境创设、问题导向的课堂教学，建构“共学课堂”教学模式。遵循“守常务本，精教优学”的海安课改路径，通过“共学设计”“历学观察”“学力评价”“延学活动”以生慧、立群、树人。依托学科工作室、中心教研组，做实校本研修，推动“共学课堂”校本化探索，力争早出成果，努力形成课改样本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打造质量保障经开表达。改革考核奖励办法，建立小初衔接质量追溯评价机制，更加关注过程，更加关注教学“增值”，更加关注学力的可持续发展。推行教育质量“整体负责制”，形成年年清、段段清，纵横结合、相互包保的学科质量考核体系。完善《校园考核细则》《考核奖发放办法》，切实将教学质量的优劣与校园考核、教师发展紧密挂钩，建立各学段相互衔接的质量链条监管体系，为全区中小学教育质量提升奠定基础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探索精细管理经开实践。加强督学责任区建设，抓好责任督学队伍，立足“督促指导、推介特色、解决问题”，推动挂牌督导工作有效开展。严格财务管理，加大监管力度，开展内部审计。树立过紧日子思想，坚持厉行节约、精打细算，压缩一般性支出，把资金用在刀刃上、紧要处。贯彻落实《海安市教体系统采购管理办法》，规范采购行为，优化采购流程，降低采购成本，提高采购效率，强化廉政风险监管。优化“阳光食堂”管理模式，用好智能服务平台、智能核磅秤、“互联网+明厨亮灶”等监控系统，运用信息化手段加强食品来源、贮存、加工、供应等全过程监管，守护师生舌尖上的安全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年伊始踏征程，万象更新向未来。上级党委政府对教育寄予厚望，人民群众对教育充满期待。让我们一起向未来，踔厉奋发、笃行不怠，用心谋教育发展大事、专心干教育改革要事、全心成人民期盼美事，合力书写开发区教育高质量发展的奋进篇章，为“教育强市”建设贡献更多力量，以优异成绩献礼二十大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bookmarkEnd w:id="34"/>
    <w:p>
      <w:pPr>
        <w:pStyle w:val="4"/>
        <w:autoSpaceDE w:val="0"/>
        <w:spacing w:before="0" w:after="0" w:line="600" w:lineRule="exact"/>
        <w:ind w:firstLine="643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</w:rPr>
        <w:t>、</w:t>
      </w:r>
      <w:r>
        <w:rPr>
          <w:rFonts w:hint="eastAsia" w:ascii="黑体" w:hAnsi="黑体" w:eastAsia="黑体" w:cs="黑体"/>
          <w:kern w:val="0"/>
          <w:lang w:val="en-US" w:eastAsia="zh-CN"/>
        </w:rPr>
        <w:t>评价结论</w:t>
      </w:r>
    </w:p>
    <w:p>
      <w:pPr>
        <w:pStyle w:val="2"/>
        <w:ind w:firstLine="1280" w:firstLineChars="4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我区进一步增强资金绩效理念，优化资金支出结构，严格按照绩效目标设立情况进行资金的使用和管理，不断改善办学条件、提高办学质量、全面提升师生综合素质，提高了资金使用效益，为推动教育高质量发展保驾护航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0" name="文本框 1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RDAAKKwIAAFk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F1FB6"/>
    <w:multiLevelType w:val="singleLevel"/>
    <w:tmpl w:val="EC1F1F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024D41F"/>
    <w:multiLevelType w:val="singleLevel"/>
    <w:tmpl w:val="F024D41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F7593E5E"/>
    <w:multiLevelType w:val="singleLevel"/>
    <w:tmpl w:val="F7593E5E"/>
    <w:lvl w:ilvl="0" w:tentative="0">
      <w:start w:val="2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0FCA6E5E"/>
    <w:multiLevelType w:val="singleLevel"/>
    <w:tmpl w:val="0FCA6E5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2DDB123D"/>
    <w:multiLevelType w:val="singleLevel"/>
    <w:tmpl w:val="2DDB123D"/>
    <w:lvl w:ilvl="0" w:tentative="0">
      <w:start w:val="1"/>
      <w:numFmt w:val="decimal"/>
      <w:lvlText w:val="%1."/>
      <w:lvlJc w:val="left"/>
      <w:pPr>
        <w:ind w:left="415" w:hanging="425"/>
      </w:pPr>
      <w:rPr>
        <w:rFonts w:hint="default"/>
      </w:rPr>
    </w:lvl>
  </w:abstractNum>
  <w:abstractNum w:abstractNumId="5">
    <w:nsid w:val="640EE443"/>
    <w:multiLevelType w:val="singleLevel"/>
    <w:tmpl w:val="640EE44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OWY4YjZlYjFiMjNjMGE2MTFjMzU5ZGY2YzFiNGUifQ=="/>
  </w:docVars>
  <w:rsids>
    <w:rsidRoot w:val="00335826"/>
    <w:rsid w:val="00335826"/>
    <w:rsid w:val="00385598"/>
    <w:rsid w:val="004E2B05"/>
    <w:rsid w:val="00566EE5"/>
    <w:rsid w:val="0057010C"/>
    <w:rsid w:val="00632E43"/>
    <w:rsid w:val="00695F49"/>
    <w:rsid w:val="0076711D"/>
    <w:rsid w:val="00D75146"/>
    <w:rsid w:val="00F177B4"/>
    <w:rsid w:val="012F4E41"/>
    <w:rsid w:val="04EC5997"/>
    <w:rsid w:val="06415729"/>
    <w:rsid w:val="07CA4114"/>
    <w:rsid w:val="07D27A23"/>
    <w:rsid w:val="07DD6375"/>
    <w:rsid w:val="09420839"/>
    <w:rsid w:val="09473FD1"/>
    <w:rsid w:val="0D160163"/>
    <w:rsid w:val="0D264559"/>
    <w:rsid w:val="0E174C3F"/>
    <w:rsid w:val="0E8C04CB"/>
    <w:rsid w:val="110F3957"/>
    <w:rsid w:val="118543E8"/>
    <w:rsid w:val="122E1957"/>
    <w:rsid w:val="12A130E5"/>
    <w:rsid w:val="13355FB9"/>
    <w:rsid w:val="13417850"/>
    <w:rsid w:val="14501E5C"/>
    <w:rsid w:val="15412D6B"/>
    <w:rsid w:val="15F92E36"/>
    <w:rsid w:val="19F96AEC"/>
    <w:rsid w:val="1A19018A"/>
    <w:rsid w:val="1AE12F0C"/>
    <w:rsid w:val="1BBB0AE0"/>
    <w:rsid w:val="1CFA4FBC"/>
    <w:rsid w:val="1D7832B2"/>
    <w:rsid w:val="1DE676D9"/>
    <w:rsid w:val="1E89474B"/>
    <w:rsid w:val="1FC70155"/>
    <w:rsid w:val="235B14F8"/>
    <w:rsid w:val="259B690D"/>
    <w:rsid w:val="26914AC0"/>
    <w:rsid w:val="2887682F"/>
    <w:rsid w:val="29F45813"/>
    <w:rsid w:val="2A4424D0"/>
    <w:rsid w:val="2B0177BF"/>
    <w:rsid w:val="2C051CF2"/>
    <w:rsid w:val="2D95065F"/>
    <w:rsid w:val="2DB31ED2"/>
    <w:rsid w:val="2DC16930"/>
    <w:rsid w:val="2EEE6B19"/>
    <w:rsid w:val="2EF57104"/>
    <w:rsid w:val="30983132"/>
    <w:rsid w:val="30B30866"/>
    <w:rsid w:val="315A19D0"/>
    <w:rsid w:val="31B72A6F"/>
    <w:rsid w:val="34620FD4"/>
    <w:rsid w:val="362E1923"/>
    <w:rsid w:val="36FA3E77"/>
    <w:rsid w:val="39387095"/>
    <w:rsid w:val="39517864"/>
    <w:rsid w:val="39D37294"/>
    <w:rsid w:val="3B3E2F31"/>
    <w:rsid w:val="3BD47B48"/>
    <w:rsid w:val="3C9615BF"/>
    <w:rsid w:val="3D04624F"/>
    <w:rsid w:val="3D383A42"/>
    <w:rsid w:val="3DB924FC"/>
    <w:rsid w:val="3E796E01"/>
    <w:rsid w:val="3F320DCC"/>
    <w:rsid w:val="3FB23A6C"/>
    <w:rsid w:val="41F64DAE"/>
    <w:rsid w:val="44624E2A"/>
    <w:rsid w:val="44F403BA"/>
    <w:rsid w:val="45315E2C"/>
    <w:rsid w:val="459878F3"/>
    <w:rsid w:val="480B1B0B"/>
    <w:rsid w:val="4A6006FD"/>
    <w:rsid w:val="4C763D71"/>
    <w:rsid w:val="4D2159C0"/>
    <w:rsid w:val="4F310729"/>
    <w:rsid w:val="4F735461"/>
    <w:rsid w:val="4FC838BF"/>
    <w:rsid w:val="51750D0F"/>
    <w:rsid w:val="519B79C7"/>
    <w:rsid w:val="521F07C1"/>
    <w:rsid w:val="525D7452"/>
    <w:rsid w:val="530162A6"/>
    <w:rsid w:val="54D5143B"/>
    <w:rsid w:val="54E211A7"/>
    <w:rsid w:val="54E73CA6"/>
    <w:rsid w:val="558B267A"/>
    <w:rsid w:val="561A5DE0"/>
    <w:rsid w:val="56825356"/>
    <w:rsid w:val="56D43C6E"/>
    <w:rsid w:val="576D3ED1"/>
    <w:rsid w:val="582866F2"/>
    <w:rsid w:val="586747F7"/>
    <w:rsid w:val="58D02849"/>
    <w:rsid w:val="58D77A7D"/>
    <w:rsid w:val="590F1670"/>
    <w:rsid w:val="59464DE9"/>
    <w:rsid w:val="59A940CE"/>
    <w:rsid w:val="5AD0530E"/>
    <w:rsid w:val="5BC8744C"/>
    <w:rsid w:val="5BD751AE"/>
    <w:rsid w:val="5CB25435"/>
    <w:rsid w:val="5CB66F0D"/>
    <w:rsid w:val="5D475FBF"/>
    <w:rsid w:val="5E892179"/>
    <w:rsid w:val="5EDD403E"/>
    <w:rsid w:val="5EF2171B"/>
    <w:rsid w:val="602F382D"/>
    <w:rsid w:val="615B5C7E"/>
    <w:rsid w:val="637F523F"/>
    <w:rsid w:val="64344FEB"/>
    <w:rsid w:val="65BA13AE"/>
    <w:rsid w:val="67302AE7"/>
    <w:rsid w:val="6733605D"/>
    <w:rsid w:val="689340F0"/>
    <w:rsid w:val="695F07B8"/>
    <w:rsid w:val="69E034EE"/>
    <w:rsid w:val="6A2A092F"/>
    <w:rsid w:val="6A447AA3"/>
    <w:rsid w:val="6AA63697"/>
    <w:rsid w:val="6B123A47"/>
    <w:rsid w:val="6B583441"/>
    <w:rsid w:val="6BA336C3"/>
    <w:rsid w:val="6C385D9A"/>
    <w:rsid w:val="6C42081E"/>
    <w:rsid w:val="6CB83A56"/>
    <w:rsid w:val="6DA307E7"/>
    <w:rsid w:val="6F542EC3"/>
    <w:rsid w:val="6F8E06E5"/>
    <w:rsid w:val="6FD64BB5"/>
    <w:rsid w:val="6FF23ACA"/>
    <w:rsid w:val="703D6AAE"/>
    <w:rsid w:val="737475AB"/>
    <w:rsid w:val="73951EED"/>
    <w:rsid w:val="744006B4"/>
    <w:rsid w:val="74DA0B4F"/>
    <w:rsid w:val="75ED5AF1"/>
    <w:rsid w:val="76E607E9"/>
    <w:rsid w:val="77CA77D1"/>
    <w:rsid w:val="77EE67D3"/>
    <w:rsid w:val="78FF3AFE"/>
    <w:rsid w:val="7A740336"/>
    <w:rsid w:val="7BE379E8"/>
    <w:rsid w:val="7BE57165"/>
    <w:rsid w:val="7C0524CD"/>
    <w:rsid w:val="7C3C6F85"/>
    <w:rsid w:val="7C5607E4"/>
    <w:rsid w:val="7CA3316E"/>
    <w:rsid w:val="7F0D3AEF"/>
    <w:rsid w:val="7F6046DD"/>
    <w:rsid w:val="7F916B99"/>
    <w:rsid w:val="7FC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9"/>
    <w:unhideWhenUsed/>
    <w:qFormat/>
    <w:uiPriority w:val="99"/>
    <w:pPr>
      <w:spacing w:after="120"/>
    </w:pPr>
  </w:style>
  <w:style w:type="paragraph" w:styleId="5">
    <w:name w:val="Balloon Text"/>
    <w:basedOn w:val="1"/>
    <w:link w:val="2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10"/>
    <w:pPr>
      <w:spacing w:line="560" w:lineRule="exact"/>
      <w:jc w:val="center"/>
    </w:pPr>
    <w:rPr>
      <w:rFonts w:eastAsia="方正小标宋_GBK"/>
      <w:sz w:val="44"/>
      <w:szCs w:val="44"/>
    </w:rPr>
  </w:style>
  <w:style w:type="character" w:styleId="13">
    <w:name w:val="footnote reference"/>
    <w:basedOn w:val="12"/>
    <w:qFormat/>
    <w:uiPriority w:val="0"/>
    <w:rPr>
      <w:vertAlign w:val="superscript"/>
    </w:rPr>
  </w:style>
  <w:style w:type="paragraph" w:customStyle="1" w:styleId="14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闻政正文"/>
    <w:basedOn w:val="1"/>
    <w:qFormat/>
    <w:uiPriority w:val="99"/>
    <w:pPr>
      <w:spacing w:line="500" w:lineRule="exact"/>
      <w:ind w:firstLine="560" w:firstLineChars="200"/>
    </w:pPr>
    <w:rPr>
      <w:rFonts w:eastAsia="仿宋_GB2312"/>
      <w:kern w:val="0"/>
      <w:sz w:val="28"/>
      <w:szCs w:val="28"/>
    </w:rPr>
  </w:style>
  <w:style w:type="paragraph" w:customStyle="1" w:styleId="19">
    <w:name w:val="仿宋正文"/>
    <w:basedOn w:val="1"/>
    <w:qFormat/>
    <w:uiPriority w:val="0"/>
    <w:pPr>
      <w:widowControl/>
      <w:overflowPunct w:val="0"/>
      <w:autoSpaceDE w:val="0"/>
      <w:autoSpaceDN w:val="0"/>
      <w:adjustRightInd w:val="0"/>
      <w:spacing w:line="560" w:lineRule="exact"/>
      <w:ind w:firstLine="480" w:firstLineChars="200"/>
      <w:textAlignment w:val="baseline"/>
    </w:pPr>
    <w:rPr>
      <w:rFonts w:ascii="仿宋" w:hAnsi="仿宋" w:eastAsia="仿宋"/>
      <w:b/>
      <w:kern w:val="0"/>
      <w:sz w:val="32"/>
      <w:szCs w:val="32"/>
    </w:rPr>
  </w:style>
  <w:style w:type="paragraph" w:customStyle="1" w:styleId="20">
    <w:name w:val="Body text|1"/>
    <w:basedOn w:val="1"/>
    <w:qFormat/>
    <w:uiPriority w:val="0"/>
    <w:pPr>
      <w:spacing w:line="41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21">
    <w:name w:val="楷体2"/>
    <w:basedOn w:val="1"/>
    <w:qFormat/>
    <w:uiPriority w:val="0"/>
    <w:pPr>
      <w:widowControl/>
      <w:overflowPunct w:val="0"/>
      <w:autoSpaceDE w:val="0"/>
      <w:autoSpaceDN w:val="0"/>
      <w:adjustRightInd w:val="0"/>
      <w:spacing w:line="560" w:lineRule="exact"/>
      <w:ind w:firstLine="643" w:firstLineChars="200"/>
      <w:textAlignment w:val="baseline"/>
    </w:pPr>
    <w:rPr>
      <w:rFonts w:ascii="楷体" w:hAnsi="楷体" w:eastAsia="楷体"/>
      <w:b/>
      <w:kern w:val="0"/>
      <w:sz w:val="32"/>
      <w:szCs w:val="32"/>
    </w:rPr>
  </w:style>
  <w:style w:type="character" w:customStyle="1" w:styleId="22">
    <w:name w:val="font1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12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customStyle="1" w:styleId="24">
    <w:name w:val="黑体1"/>
    <w:basedOn w:val="1"/>
    <w:qFormat/>
    <w:uiPriority w:val="0"/>
    <w:pPr>
      <w:widowControl/>
      <w:overflowPunct w:val="0"/>
      <w:autoSpaceDE w:val="0"/>
      <w:autoSpaceDN w:val="0"/>
      <w:adjustRightInd w:val="0"/>
      <w:spacing w:line="560" w:lineRule="exact"/>
      <w:ind w:firstLine="803" w:firstLineChars="250"/>
      <w:textAlignment w:val="baseline"/>
    </w:pPr>
    <w:rPr>
      <w:rFonts w:ascii="黑体" w:hAnsi="黑体" w:eastAsia="黑体"/>
      <w:b/>
      <w:kern w:val="0"/>
      <w:sz w:val="32"/>
      <w:szCs w:val="28"/>
    </w:rPr>
  </w:style>
  <w:style w:type="character" w:customStyle="1" w:styleId="25">
    <w:name w:val="样式1 Char"/>
    <w:basedOn w:val="12"/>
    <w:link w:val="26"/>
    <w:qFormat/>
    <w:uiPriority w:val="0"/>
    <w:rPr>
      <w:rFonts w:hint="eastAsia" w:ascii="仿宋" w:hAnsi="仿宋" w:eastAsia="仿宋" w:cs="仿宋"/>
      <w:b/>
      <w:sz w:val="32"/>
      <w:szCs w:val="32"/>
    </w:rPr>
  </w:style>
  <w:style w:type="paragraph" w:customStyle="1" w:styleId="26">
    <w:name w:val="样式1"/>
    <w:basedOn w:val="1"/>
    <w:link w:val="25"/>
    <w:qFormat/>
    <w:uiPriority w:val="0"/>
    <w:pPr>
      <w:widowControl/>
      <w:spacing w:line="360" w:lineRule="auto"/>
      <w:ind w:firstLine="643" w:firstLineChars="200"/>
    </w:pPr>
    <w:rPr>
      <w:rFonts w:hint="eastAsia" w:ascii="仿宋" w:hAnsi="仿宋" w:eastAsia="仿宋"/>
      <w:b/>
      <w:kern w:val="0"/>
      <w:sz w:val="32"/>
      <w:szCs w:val="32"/>
    </w:rPr>
  </w:style>
  <w:style w:type="character" w:customStyle="1" w:styleId="27">
    <w:name w:val="仿宋正文 Char"/>
    <w:basedOn w:val="12"/>
    <w:qFormat/>
    <w:uiPriority w:val="0"/>
    <w:rPr>
      <w:rFonts w:hint="eastAsia" w:ascii="仿宋" w:hAnsi="仿宋" w:eastAsia="仿宋" w:cs="仿宋"/>
      <w:b/>
      <w:sz w:val="32"/>
      <w:szCs w:val="32"/>
    </w:rPr>
  </w:style>
  <w:style w:type="character" w:customStyle="1" w:styleId="28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character" w:customStyle="1" w:styleId="29">
    <w:name w:val="正文文本 字符"/>
    <w:basedOn w:val="12"/>
    <w:link w:val="2"/>
    <w:uiPriority w:val="0"/>
    <w:rPr>
      <w:rFonts w:hint="eastAsia" w:ascii="Arial Unicode MS" w:hAnsi="Arial Unicode MS" w:eastAsia="Arial Unicode MS" w:cs="Arial Unicode MS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13</Pages>
  <Words>5807</Words>
  <Characters>6005</Characters>
  <Lines>54</Lines>
  <Paragraphs>15</Paragraphs>
  <TotalTime>31</TotalTime>
  <ScaleCrop>false</ScaleCrop>
  <LinksUpToDate>false</LinksUpToDate>
  <CharactersWithSpaces>6017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2022-06-21T00:53:00Z</dcterms:created>
  <dc:creator>Administrator</dc:creator>
  <cp:lastModifiedBy>王海峰</cp:lastModifiedBy>
  <cp:lastPrinted>2022-06-21T11:38:00Z</cp:lastPrinted>
  <dcterms:modified xsi:type="dcterms:W3CDTF">2022-08-24T07:33:04Z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57190ABD1C8447CA852423D607C981CE</vt:lpwstr>
  </property>
</Properties>
</file>